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C089C" w:rsidRDefault="000C089C" w:rsidP="000C089C">
      <w:pPr>
        <w:spacing w:after="0"/>
        <w:jc w:val="both"/>
        <w:rPr>
          <w:rFonts w:ascii="Times New Roman" w:hAnsi="Times New Roman"/>
          <w:sz w:val="24"/>
          <w:szCs w:val="24"/>
        </w:rPr>
      </w:pPr>
      <w:bookmarkStart w:id="0" w:name="_Hlk99434774"/>
      <w:r>
        <w:rPr>
          <w:rFonts w:ascii="Times New Roman" w:hAnsi="Times New Roman"/>
          <w:sz w:val="24"/>
          <w:szCs w:val="24"/>
        </w:rPr>
        <w:t>Załącznik Nr 1 do informacji dodatkowej</w:t>
      </w:r>
    </w:p>
    <w:p w:rsidR="000C089C" w:rsidRDefault="000C089C" w:rsidP="000C089C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0C089C" w:rsidRDefault="000C089C" w:rsidP="000C089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2272D0">
        <w:rPr>
          <w:rFonts w:ascii="Times New Roman" w:hAnsi="Times New Roman"/>
          <w:sz w:val="24"/>
          <w:szCs w:val="24"/>
        </w:rPr>
        <w:t>Omówienie przyjętych zasad</w:t>
      </w:r>
      <w:r>
        <w:rPr>
          <w:rFonts w:ascii="Times New Roman" w:hAnsi="Times New Roman"/>
          <w:sz w:val="24"/>
          <w:szCs w:val="24"/>
        </w:rPr>
        <w:t xml:space="preserve"> (polityki) rachunkowości, w tym metod wyceny aktywów                   i pasywów (także amortyzacji):</w:t>
      </w:r>
    </w:p>
    <w:p w:rsidR="000C089C" w:rsidRDefault="000C089C" w:rsidP="000C089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Aktywa i pasywa wyceniane są przy uwzględnieniu nadrzędnych zasad rachunkowości,                w sposób przewidziany ustawą o rachunkowości oraz przepisami szczególnymi                                  z rozporządzenia w sprawie szczególnych zasad rachunkowości. W zakresie wyceny jednostka dokonała następujących wyborów:</w:t>
      </w:r>
    </w:p>
    <w:p w:rsidR="000C089C" w:rsidRDefault="000C089C" w:rsidP="000C089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wartości niematerialne i prawne wycenia się według ceny zakupu,</w:t>
      </w:r>
    </w:p>
    <w:p w:rsidR="000C089C" w:rsidRDefault="000C089C" w:rsidP="000C089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środki trwałe wycenia się według ceny zakupu,</w:t>
      </w:r>
    </w:p>
    <w:p w:rsidR="000C089C" w:rsidRDefault="000C089C" w:rsidP="000C089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składniki majątku, mające cechy środków trwałych lub wartości niematerialnych                              i prawnych, o wartości początkowej poniżej 350</w:t>
      </w:r>
      <w:r w:rsidRPr="002272D0">
        <w:rPr>
          <w:rFonts w:ascii="Times New Roman" w:hAnsi="Times New Roman"/>
          <w:color w:val="FF0000"/>
          <w:sz w:val="24"/>
          <w:szCs w:val="24"/>
        </w:rPr>
        <w:t xml:space="preserve"> </w:t>
      </w:r>
      <w:r w:rsidRPr="008A3E5A">
        <w:rPr>
          <w:rFonts w:ascii="Times New Roman" w:hAnsi="Times New Roman"/>
          <w:sz w:val="24"/>
          <w:szCs w:val="24"/>
        </w:rPr>
        <w:t>zł</w:t>
      </w:r>
      <w:r>
        <w:rPr>
          <w:rFonts w:ascii="Times New Roman" w:hAnsi="Times New Roman"/>
          <w:sz w:val="24"/>
          <w:szCs w:val="24"/>
        </w:rPr>
        <w:t xml:space="preserve"> jednostka zalicza bezpośrednio w koszty        i jednocześnie wprowadza składniki do ewidencji pozabilansowej,</w:t>
      </w:r>
    </w:p>
    <w:p w:rsidR="000C089C" w:rsidRDefault="000C089C" w:rsidP="000C089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składniki majątku, spełniające warunki zaliczenia ich do środków trwałych lub wartości niematerialnych i prawnych, o wartości początkowej od 350 zł do 10 000 zł jednostka zalicza do pozostałych środków trwałych  lub wartości niematerialnych i prawnych i wprowadza do ewidencji bilansowej tych aktywów. Od tego rodzaju składników majątku jednostka dokonuje odpisów umorzeniowych w miesiącu przyjęcia do używania,</w:t>
      </w:r>
    </w:p>
    <w:p w:rsidR="000C089C" w:rsidRDefault="000C089C" w:rsidP="000C089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- składniki majątku o wartości początkowej powyżej 10 000 zł jednostka zalicza do środków trwałych lub wartości niematerialnych i prawnych i wprowadza do ewidencji bilansowej tych aktywów. Dokonywanie odpisów amortyzacyjnych metodą liniową rozpoczyna się począwszy od </w:t>
      </w:r>
      <w:r w:rsidRPr="009B1830">
        <w:rPr>
          <w:rFonts w:ascii="Times New Roman" w:hAnsi="Times New Roman"/>
          <w:sz w:val="24"/>
          <w:szCs w:val="24"/>
        </w:rPr>
        <w:t xml:space="preserve">miesiąca następującego po miesiącu oddania składnika do używania, </w:t>
      </w:r>
      <w:r>
        <w:rPr>
          <w:rFonts w:ascii="Times New Roman" w:hAnsi="Times New Roman"/>
          <w:sz w:val="24"/>
          <w:szCs w:val="24"/>
        </w:rPr>
        <w:t>według stawek podatkowych,</w:t>
      </w:r>
    </w:p>
    <w:p w:rsidR="000C089C" w:rsidRPr="00614D28" w:rsidRDefault="000C089C" w:rsidP="000C089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614D28">
        <w:rPr>
          <w:rFonts w:ascii="Times New Roman" w:hAnsi="Times New Roman"/>
          <w:sz w:val="24"/>
          <w:szCs w:val="24"/>
        </w:rPr>
        <w:t>- wszystkie nakłady na ulepszenie środków trwałych przekraczające wartość 10 000 zł podwyższają wartość początkową tych składników trwałych, a nieprzekraczające 10 000 zł odnoszone są w koszty bieżącego okresu jako koszty remontu,</w:t>
      </w:r>
    </w:p>
    <w:p w:rsidR="000C089C" w:rsidRDefault="000C089C" w:rsidP="000C089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- zbiory biblioteczne (księgozbiory) wycenia się według ceny zakupu,   </w:t>
      </w:r>
    </w:p>
    <w:p w:rsidR="000C089C" w:rsidRDefault="000C089C" w:rsidP="000C089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zbiory biblioteczne są jednorazowo amortyzowane i</w:t>
      </w:r>
      <w:r w:rsidRPr="008A3E5A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umarzane w momencie zakupu,                      - stany i rozchody objętych ewidencją ilościowo – wartościową zapasów wycenia się w cenach zakupu,   </w:t>
      </w:r>
    </w:p>
    <w:p w:rsidR="000C089C" w:rsidRDefault="000C089C" w:rsidP="000C089C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- należności wyceniane są w kwocie wymagającej zapłaty, z zachowaniem ostrożności,                  a odpisy aktualizujące należności tworzone są na dzień bilansowy według zasad wynikających z ustawy o rachunkowości, z tym że odpisy na należności przeterminowane tworzy się, jeśli okres przeterminowania tych należności wynosi między </w:t>
      </w:r>
      <w:smartTag w:uri="urn:schemas-microsoft-com:office:smarttags" w:element="metricconverter">
        <w:smartTagPr>
          <w:attr w:name="ProductID" w:val="6 a"/>
        </w:smartTagPr>
        <w:r>
          <w:rPr>
            <w:rFonts w:ascii="Times New Roman" w:hAnsi="Times New Roman"/>
            <w:sz w:val="24"/>
            <w:szCs w:val="24"/>
          </w:rPr>
          <w:t>6 a</w:t>
        </w:r>
      </w:smartTag>
      <w:r>
        <w:rPr>
          <w:rFonts w:ascii="Times New Roman" w:hAnsi="Times New Roman"/>
          <w:sz w:val="24"/>
          <w:szCs w:val="24"/>
        </w:rPr>
        <w:t xml:space="preserve"> 9 miesięcy od dnia bilansowego     w 50% wartości należności, między 9 miesięcy a 12 miesięcy, 80% wartości należności, powyżej 12 miesięcy na 100% wartości należności, nie rozlicza się kosztów w czasie, ze względu na powtarzalność ich występowania w kolejnych latach w kwotach pozwalających na uznanie, że zaniechanie ich rozliczania nie ma istotnego wpływu na ocenę sytuacji majątkowej i finansowej jednostki oraz wysokość jej wyniku finansowego. </w:t>
      </w:r>
    </w:p>
    <w:p w:rsidR="000C089C" w:rsidRPr="009B1830" w:rsidRDefault="000C089C" w:rsidP="000C089C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Sprawozdanie finansowe zostało sporządzone przy założeniu kontynuacji działania.   </w:t>
      </w:r>
    </w:p>
    <w:bookmarkEnd w:id="0"/>
    <w:p w:rsidR="000C089C" w:rsidRDefault="000C089C" w:rsidP="000C089C">
      <w:r>
        <w:tab/>
      </w:r>
      <w:r>
        <w:tab/>
      </w:r>
    </w:p>
    <w:p w:rsidR="000C089C" w:rsidRDefault="000C089C" w:rsidP="000C089C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0C089C" w:rsidRPr="000C089C" w:rsidRDefault="000C089C" w:rsidP="000C089C">
      <w:pPr>
        <w:rPr>
          <w:sz w:val="20"/>
          <w:szCs w:val="20"/>
        </w:rPr>
      </w:pPr>
      <w:r w:rsidRPr="000C089C">
        <w:rPr>
          <w:sz w:val="20"/>
          <w:szCs w:val="20"/>
        </w:rPr>
        <w:t>/Beata Smolińska/</w:t>
      </w:r>
      <w:r>
        <w:rPr>
          <w:sz w:val="20"/>
          <w:szCs w:val="20"/>
        </w:rPr>
        <w:t xml:space="preserve">                                                                                                         /Ewa Poz</w:t>
      </w:r>
      <w:bookmarkStart w:id="1" w:name="_GoBack"/>
      <w:bookmarkEnd w:id="1"/>
      <w:r>
        <w:rPr>
          <w:sz w:val="20"/>
          <w:szCs w:val="20"/>
        </w:rPr>
        <w:t>aroszczyk/</w:t>
      </w:r>
    </w:p>
    <w:p w:rsidR="0062424F" w:rsidRDefault="0062424F"/>
    <w:sectPr w:rsidR="0062424F" w:rsidSect="00CF40D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C089C"/>
    <w:rsid w:val="000C089C"/>
    <w:rsid w:val="006242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694CE6DA"/>
  <w15:chartTrackingRefBased/>
  <w15:docId w15:val="{A442D2E0-4D43-43C9-92D6-4C7496DC94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0C089C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454</Words>
  <Characters>2730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beata.smolinska</dc:creator>
  <cp:keywords/>
  <dc:description/>
  <cp:lastModifiedBy>beata.smolinska</cp:lastModifiedBy>
  <cp:revision>1</cp:revision>
  <dcterms:created xsi:type="dcterms:W3CDTF">2026-04-01T09:17:00Z</dcterms:created>
  <dcterms:modified xsi:type="dcterms:W3CDTF">2026-04-01T09:18:00Z</dcterms:modified>
</cp:coreProperties>
</file>